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龙身蛇形太极五行功法</w:t>
      </w:r>
      <w:r>
        <w:rPr>
          <w:rFonts w:hint="eastAsia"/>
          <w:b/>
          <w:bCs/>
          <w:sz w:val="32"/>
          <w:szCs w:val="40"/>
        </w:rPr>
        <w:t>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 xml:space="preserve">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龙身蛇形太极拳业已成为上海市非物质文化遗产项目，其突出特点为：极柔软、极坚刚，柔至极为刚、刚至极化柔。既有良好的强身健体功能，同时又具有极强的艺术观赏性及超强的技击性。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龙身蛇形太极五行功法突出了龙身蛇形太极拳强身健体养身的功效。通过五行对应心、脾、肺、肾、肝的龙身蛇形太极拳动作，打开人体经络，对应手太阳、少阳、太阴、少阴，足太阳、少阳、太阴、少阴带动身体心包经、脾经、肺经、肾经、肝经、膀胱经运动，调节身体内五脏六腑的太极健身运动处方。</w:t>
            </w: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基本术语，学会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武术</w:t>
            </w:r>
            <w:r>
              <w:rPr>
                <w:rFonts w:hint="eastAsia"/>
                <w:kern w:val="0"/>
                <w:sz w:val="24"/>
              </w:rPr>
              <w:t>最基本礼仪；学习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手型、步型</w:t>
            </w:r>
            <w:r>
              <w:rPr>
                <w:rFonts w:hint="eastAsia"/>
                <w:kern w:val="0"/>
                <w:sz w:val="24"/>
              </w:rPr>
              <w:t>。并进行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热身</w:t>
            </w:r>
            <w:r>
              <w:rPr>
                <w:rFonts w:hint="eastAsia"/>
                <w:kern w:val="0"/>
                <w:sz w:val="24"/>
              </w:rPr>
              <w:t>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龙身蛇形太极五行功法动作</w:t>
            </w:r>
            <w:r>
              <w:rPr>
                <w:rFonts w:hint="eastAsia"/>
                <w:kern w:val="0"/>
                <w:sz w:val="24"/>
              </w:rPr>
              <w:t>，掌握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正确的练习方式和方法</w:t>
            </w:r>
            <w:r>
              <w:rPr>
                <w:rFonts w:hint="eastAsia"/>
                <w:kern w:val="0"/>
                <w:sz w:val="24"/>
              </w:rPr>
              <w:t>；了解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动作的原理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ascii="Arial" w:hAnsi="Arial" w:eastAsia="宋体" w:cs="Arial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>重复训练法、渗透训练法等相结合。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85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 w:eastAsia="宋体"/>
                      <w:b w:val="0"/>
                      <w:bCs w:val="0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1、通过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龙身蛇形太极五行功法</w:t>
                  </w: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的学习，学员对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龙身蛇形太极拳</w:t>
                  </w: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有一个初步的认识并且能掌握简单的太极动作，为提高班的学习打下扎实的基础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eastAsia="zh-CN"/>
                    </w:rPr>
                    <w:t>；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 w:eastAsia="宋体"/>
                      <w:b w:val="0"/>
                      <w:bCs w:val="0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2、体弱者通过学习锻炼，能增强体质，提高生活质量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eastAsia="zh-CN"/>
                    </w:rPr>
                    <w:t>；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3、健康者学习套路，领悟太极拳精华，即可以强身健体，又可以交友展示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课程介绍，太极阴阳理论知识讲解，热身运动讲解教学。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预备式、起势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手挥琵琶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对应的人体经络及练习方式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提手上势对应的人体经络及练习方式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白鹤亮翅对应的人体经络及练习方式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如封似闭对应的人体经络及练习方式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玉女穿梭对应的人体经络及练习方式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收势对应的人体经络及练习方式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配合龙身蛇形太极五行功法音乐练习全套动作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整套套路演练考核</w:t>
                  </w:r>
                </w:p>
              </w:tc>
            </w:tr>
          </w:tbl>
          <w:p>
            <w:pPr>
              <w:tabs>
                <w:tab w:val="left" w:pos="855"/>
                <w:tab w:val="left" w:pos="8835"/>
              </w:tabs>
              <w:spacing w:line="360" w:lineRule="auto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1563F35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2962A7"/>
    <w:rsid w:val="49794DEA"/>
    <w:rsid w:val="4B383B71"/>
    <w:rsid w:val="55771777"/>
    <w:rsid w:val="5BCA1235"/>
    <w:rsid w:val="5CFE0969"/>
    <w:rsid w:val="60D55B53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2020-09-27T06:39:26Z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RubyTemplateID" linkTarget="0">
    <vt:lpwstr>6</vt:lpwstr>
  </property>
</Properties>
</file>