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中国木兰拳</w:t>
      </w:r>
      <w:r>
        <w:rPr>
          <w:rFonts w:hint="eastAsia"/>
          <w:b/>
          <w:bCs/>
          <w:sz w:val="32"/>
          <w:szCs w:val="40"/>
        </w:rPr>
        <w:t>教案（技能）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木兰拳将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instrText xml:space="preserve"> HYPERLINK "https://baike.baidu.com/item/%E5%A4%AA%E6%9E%81%E6%8B%B3/84009" \t "/home/user/Documents\\x/_blank" </w:instrTex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kern w:val="0"/>
                <w:sz w:val="24"/>
              </w:rPr>
              <w:t>太极拳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基本功，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instrText xml:space="preserve"> HYPERLINK "https://baike.baidu.com/item/%E6%B0%94%E5%8A%9F/277547" \t "/home/user/Documents\\x/_blank" </w:instrTex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kern w:val="0"/>
                <w:sz w:val="24"/>
              </w:rPr>
              <w:t>气功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要领，武术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instrText xml:space="preserve"> HYPERLINK "https://baike.baidu.com/item/%E6%8A%80%E5%87%BB/907589" \t "/home/user/Documents\\x/_blank" </w:instrTex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kern w:val="0"/>
                <w:sz w:val="24"/>
              </w:rPr>
              <w:t>技击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基本功，体操基本功及舞台艺术造型有机结合，以吐纳之道和阴阳二气合理运动为理论依据，动静结合，在动的过程中，让思想随着优雅的音乐意守拳路而自然入静，从而达到防病、治病，延年益寿的目的。实践证明，它对腰腿痛、关节痛、心脏病及失眠等病症有积极的治疗效力和预防作用，对减肥以及对中老年妇女的体形健美更有显著功效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80岁以下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eastAsia="zh-CN"/>
              </w:rPr>
              <w:t>室外、室内、练功房皆可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  <w:r>
              <w:rPr>
                <w:rFonts w:hint="eastAsia"/>
                <w:kern w:val="0"/>
                <w:sz w:val="24"/>
                <w:lang w:eastAsia="zh-CN"/>
              </w:rPr>
              <w:t>（根据不同套路需要不同道具）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eastAsia="zh-CN"/>
              </w:rPr>
              <w:t>木兰拳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eastAsia="zh-CN"/>
              </w:rPr>
              <w:t>木兰拳</w:t>
            </w:r>
            <w:r>
              <w:rPr>
                <w:rFonts w:hint="eastAsia"/>
                <w:kern w:val="0"/>
                <w:sz w:val="24"/>
              </w:rPr>
              <w:t>项目的基础知识和</w:t>
            </w:r>
            <w:r>
              <w:rPr>
                <w:rFonts w:hint="eastAsia"/>
                <w:kern w:val="0"/>
                <w:sz w:val="24"/>
                <w:lang w:eastAsia="zh-CN"/>
              </w:rPr>
              <w:t>规定套路</w:t>
            </w:r>
            <w:r>
              <w:rPr>
                <w:rFonts w:hint="eastAsia"/>
                <w:kern w:val="0"/>
                <w:sz w:val="24"/>
              </w:rPr>
              <w:t>基本动作</w:t>
            </w:r>
            <w:r>
              <w:rPr>
                <w:rFonts w:hint="eastAsia"/>
                <w:kern w:val="0"/>
                <w:sz w:val="24"/>
                <w:lang w:eastAsia="zh-CN"/>
              </w:rPr>
              <w:t>，达到强身健体，愉悦身心的效果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>
              <w:rPr>
                <w:rFonts w:hint="eastAsia"/>
                <w:kern w:val="0"/>
                <w:sz w:val="24"/>
                <w:lang w:eastAsia="zh-CN"/>
              </w:rPr>
              <w:t>木兰拳的功效、介绍套路，并介绍本次课时学习的套路。进行基础动作起始式的学习。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eastAsia="zh-CN"/>
              </w:rPr>
              <w:t>木兰拳本次课时学习套路的全部动作，循序渐进教学。每次课时学习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3-4个动作，并会在每次课程最开始复习之前课时的动作。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完成套路全部动作的教学</w:t>
            </w:r>
            <w:r>
              <w:rPr>
                <w:rFonts w:hint="eastAsia"/>
                <w:kern w:val="0"/>
                <w:sz w:val="24"/>
              </w:rPr>
              <w:t>，并组织学员</w:t>
            </w:r>
            <w:r>
              <w:rPr>
                <w:rFonts w:hint="eastAsia"/>
                <w:kern w:val="0"/>
                <w:sz w:val="24"/>
                <w:lang w:eastAsia="zh-CN"/>
              </w:rPr>
              <w:t>互相套路演示和评价</w:t>
            </w:r>
            <w:r>
              <w:rPr>
                <w:rFonts w:hint="eastAsia"/>
                <w:kern w:val="0"/>
                <w:sz w:val="24"/>
              </w:rPr>
              <w:t>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以下教学内容以国家体育总局编制的木兰拳规定套路《二十八式》为例。其他套路的课程教学内容和节奏大抵相同。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介绍木兰拳功效</w:t>
                  </w:r>
                  <w:r>
                    <w:rPr>
                      <w:rFonts w:hint="eastAsia"/>
                      <w:sz w:val="24"/>
                    </w:rPr>
                    <w:t>；2、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木兰拳的穿着服装和道具要求</w:t>
                  </w:r>
                  <w:r>
                    <w:rPr>
                      <w:rFonts w:hint="eastAsia"/>
                      <w:sz w:val="24"/>
                    </w:rPr>
                    <w:t>；3、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起始</w:t>
                  </w:r>
                  <w:r>
                    <w:rPr>
                      <w:rFonts w:hint="eastAsia"/>
                      <w:sz w:val="24"/>
                    </w:rPr>
                    <w:t>站姿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1-4式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5-8式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9-12式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13-16式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17-20式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21-24式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学习木兰拳规定套路《二十八式》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25-28式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p>
      <w:pPr>
        <w:rPr>
          <w:rFonts w:hint="eastAsia"/>
          <w:kern w:val="0"/>
          <w:sz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2F7FDBAC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6F4F1E84"/>
    <w:rsid w:val="70DC52DA"/>
    <w:rsid w:val="72670F1E"/>
    <w:rsid w:val="73853D0E"/>
    <w:rsid w:val="76A76D1E"/>
    <w:rsid w:val="772A717D"/>
    <w:rsid w:val="7A3D36FA"/>
    <w:rsid w:val="BFFFC37E"/>
    <w:rsid w:val="EF5B8FC0"/>
    <w:rsid w:val="F6F30A27"/>
    <w:rsid w:val="FE3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7</TotalTime>
  <ScaleCrop>false</ScaleCrop>
  <LinksUpToDate>false</LinksUpToDate>
  <CharactersWithSpaces>2116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user</cp:lastModifiedBy>
  <dcterms:modified xsi:type="dcterms:W3CDTF">2022-02-14T16:02:31Z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RubyTemplateID" linkTarget="0">
    <vt:lpwstr>6</vt:lpwstr>
  </property>
</Properties>
</file>